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2BE6D" w14:textId="77777777" w:rsidR="003B209D" w:rsidRDefault="00516118" w:rsidP="003B209D">
      <w:pPr>
        <w:rPr>
          <w:rFonts w:asciiTheme="majorHAnsi" w:hAnsiTheme="majorHAnsi"/>
          <w:b/>
          <w:sz w:val="32"/>
          <w:szCs w:val="7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B0843" wp14:editId="5C98BC71">
                <wp:simplePos x="0" y="0"/>
                <wp:positionH relativeFrom="column">
                  <wp:posOffset>3547745</wp:posOffset>
                </wp:positionH>
                <wp:positionV relativeFrom="paragraph">
                  <wp:posOffset>-228600</wp:posOffset>
                </wp:positionV>
                <wp:extent cx="452755" cy="571500"/>
                <wp:effectExtent l="0" t="0" r="0" b="0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84B84E" w14:textId="77777777" w:rsidR="002C076C" w:rsidRPr="00516118" w:rsidRDefault="002C076C" w:rsidP="00516118">
                            <w:pPr>
                              <w:rPr>
                                <w:rFonts w:ascii="Type Embellishments One LET" w:hAnsi="Type Embellishments One LET"/>
                                <w:color w:val="1F497D" w:themeColor="text2"/>
                                <w:sz w:val="56"/>
                              </w:rPr>
                            </w:pPr>
                            <w:r w:rsidRPr="00516118">
                              <w:rPr>
                                <w:rFonts w:ascii="Wingdings 2" w:hAnsi="Wingdings 2"/>
                                <w:color w:val="1F497D" w:themeColor="text2"/>
                                <w:sz w:val="56"/>
                              </w:rPr>
                              <w:t>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6" o:spid="_x0000_s1026" type="#_x0000_t202" style="position:absolute;margin-left:279.35pt;margin-top:-17.95pt;width:35.6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" filled="f" stroked="f">
                <v:textbox inset=",7.2pt,,7.2pt">
                  <w:txbxContent>
                    <w:p w14:paraId="2184B84E" w14:textId="77777777" w:rsidR="002C076C" w:rsidRPr="00516118" w:rsidRDefault="002C076C" w:rsidP="00516118">
                      <w:pPr>
                        <w:rPr>
                          <w:rFonts w:ascii="Type Embellishments One LET" w:hAnsi="Type Embellishments One LET"/>
                          <w:color w:val="1F497D" w:themeColor="text2"/>
                          <w:sz w:val="56"/>
                        </w:rPr>
                      </w:pPr>
                      <w:r w:rsidRPr="00516118">
                        <w:rPr>
                          <w:rFonts w:ascii="Wingdings 2" w:hAnsi="Wingdings 2"/>
                          <w:color w:val="1F497D" w:themeColor="text2"/>
                          <w:sz w:val="56"/>
                        </w:rPr>
                        <w:t>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822D8A" wp14:editId="1F19F5F4">
                <wp:simplePos x="0" y="0"/>
                <wp:positionH relativeFrom="column">
                  <wp:posOffset>3657600</wp:posOffset>
                </wp:positionH>
                <wp:positionV relativeFrom="paragraph">
                  <wp:posOffset>-228600</wp:posOffset>
                </wp:positionV>
                <wp:extent cx="2743200" cy="571500"/>
                <wp:effectExtent l="0" t="0" r="0" b="0"/>
                <wp:wrapNone/>
                <wp:docPr id="1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D5DEB" w14:textId="77777777" w:rsidR="002C076C" w:rsidRPr="00807B00" w:rsidRDefault="002C076C" w:rsidP="0051611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</w:rPr>
                              <w:t>AFTER INSTRUCTION</w:t>
                            </w:r>
                          </w:p>
                          <w:p w14:paraId="3008D6C4" w14:textId="77777777" w:rsidR="002C076C" w:rsidRPr="00807B00" w:rsidRDefault="002C076C" w:rsidP="00516118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u w:val="single"/>
                              </w:rPr>
                              <w:t>Communicate</w:t>
                            </w:r>
                            <w:r w:rsidRPr="00807B00">
                              <w:rPr>
                                <w:rFonts w:asciiTheme="majorHAnsi" w:hAnsiTheme="majorHAnsi"/>
                                <w:u w:val="single"/>
                              </w:rPr>
                              <w:t xml:space="preserve"> Student Progress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27" type="#_x0000_t202" style="position:absolute;margin-left:4in;margin-top:-17.95pt;width:3in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" filled="f" stroked="f">
                <v:textbox inset=",7.2pt,,7.2pt">
                  <w:txbxContent>
                    <w:p w14:paraId="41FD5DEB" w14:textId="77777777" w:rsidR="002C076C" w:rsidRPr="00807B00" w:rsidRDefault="002C076C" w:rsidP="00516118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</w:rPr>
                        <w:t>AFTER INSTRUCTION</w:t>
                      </w:r>
                    </w:p>
                    <w:p w14:paraId="3008D6C4" w14:textId="77777777" w:rsidR="002C076C" w:rsidRPr="00807B00" w:rsidRDefault="002C076C" w:rsidP="00516118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>
                        <w:rPr>
                          <w:rFonts w:asciiTheme="majorHAnsi" w:hAnsiTheme="majorHAnsi"/>
                          <w:u w:val="single"/>
                        </w:rPr>
                        <w:t>Communicate</w:t>
                      </w:r>
                      <w:r w:rsidRPr="00807B00">
                        <w:rPr>
                          <w:rFonts w:asciiTheme="majorHAnsi" w:hAnsiTheme="majorHAnsi"/>
                          <w:u w:val="single"/>
                        </w:rPr>
                        <w:t xml:space="preserve"> Student Progress</w:t>
                      </w:r>
                    </w:p>
                  </w:txbxContent>
                </v:textbox>
              </v:shape>
            </w:pict>
          </mc:Fallback>
        </mc:AlternateContent>
      </w:r>
      <w:r w:rsidR="003B209D" w:rsidRPr="00E43164">
        <w:rPr>
          <w:rFonts w:asciiTheme="majorHAnsi" w:hAnsiTheme="majorHAnsi"/>
          <w:b/>
          <w:sz w:val="32"/>
          <w:szCs w:val="76"/>
        </w:rPr>
        <w:t>Robust Teaching/Learning Cycle</w:t>
      </w:r>
    </w:p>
    <w:p w14:paraId="25C02089" w14:textId="77777777" w:rsidR="003B209D" w:rsidRPr="008A0C8C" w:rsidRDefault="003B209D" w:rsidP="003B209D">
      <w:pPr>
        <w:pStyle w:val="ListParagraph"/>
        <w:tabs>
          <w:tab w:val="left" w:pos="969"/>
        </w:tabs>
        <w:ind w:left="0"/>
        <w:rPr>
          <w:rFonts w:asciiTheme="majorHAnsi" w:hAnsiTheme="majorHAnsi"/>
          <w:sz w:val="12"/>
        </w:rPr>
      </w:pPr>
      <w:r w:rsidRPr="008A0C8C">
        <w:rPr>
          <w:rFonts w:asciiTheme="majorHAnsi" w:hAnsiTheme="majorHAnsi"/>
          <w:sz w:val="12"/>
        </w:rPr>
        <w:tab/>
      </w:r>
    </w:p>
    <w:p w14:paraId="56ACDF71" w14:textId="77777777" w:rsidR="00516118" w:rsidRPr="00516118" w:rsidRDefault="00516118" w:rsidP="00516118">
      <w:pPr>
        <w:jc w:val="center"/>
        <w:rPr>
          <w:rFonts w:asciiTheme="majorHAnsi" w:hAnsiTheme="majorHAnsi"/>
          <w:b/>
          <w:color w:val="1F497D" w:themeColor="text2"/>
          <w:sz w:val="28"/>
        </w:rPr>
      </w:pPr>
      <w:r w:rsidRPr="00516118">
        <w:rPr>
          <w:rFonts w:asciiTheme="majorHAnsi" w:hAnsiTheme="majorHAnsi"/>
          <w:b/>
          <w:color w:val="1F497D" w:themeColor="text2"/>
          <w:sz w:val="28"/>
        </w:rPr>
        <w:t>How will we share what each student has learned?</w:t>
      </w:r>
    </w:p>
    <w:p w14:paraId="6FD25E37" w14:textId="00E6D44A" w:rsidR="00516118" w:rsidRPr="00516118" w:rsidRDefault="00516118" w:rsidP="00516118">
      <w:pPr>
        <w:jc w:val="center"/>
        <w:rPr>
          <w:rFonts w:asciiTheme="majorHAnsi" w:hAnsiTheme="majorHAnsi"/>
          <w:color w:val="1F497D" w:themeColor="text2"/>
          <w:sz w:val="20"/>
        </w:rPr>
      </w:pPr>
      <w:r w:rsidRPr="00807B00">
        <w:rPr>
          <w:rFonts w:asciiTheme="majorHAnsi" w:hAnsiTheme="majorHAnsi"/>
          <w:color w:val="1F497D" w:themeColor="text2"/>
          <w:sz w:val="20"/>
        </w:rPr>
        <w:t>Practice: Teachers engage collaboratively with colleagues, students and families to communicate learning progress.</w:t>
      </w:r>
      <w:r>
        <w:rPr>
          <w:rFonts w:asciiTheme="majorHAnsi" w:hAnsiTheme="majorHAnsi"/>
          <w:color w:val="1F497D" w:themeColor="text2"/>
          <w:sz w:val="20"/>
        </w:rPr>
        <w:t xml:space="preserve"> </w:t>
      </w:r>
      <w:r w:rsidRPr="00807B00">
        <w:rPr>
          <w:rFonts w:asciiTheme="majorHAnsi" w:hAnsiTheme="majorHAnsi"/>
          <w:b/>
          <w:color w:val="1F497D" w:themeColor="text2"/>
          <w:sz w:val="20"/>
        </w:rPr>
        <w:t xml:space="preserve">Teacher Quality Standards: </w:t>
      </w:r>
      <w:r>
        <w:rPr>
          <w:rFonts w:asciiTheme="majorHAnsi" w:hAnsiTheme="majorHAnsi"/>
          <w:b/>
          <w:color w:val="1F497D" w:themeColor="text2"/>
          <w:sz w:val="20"/>
        </w:rPr>
        <w:t xml:space="preserve">I, II, III, </w:t>
      </w:r>
      <w:r w:rsidR="00CF2114">
        <w:rPr>
          <w:rFonts w:asciiTheme="majorHAnsi" w:hAnsiTheme="majorHAnsi"/>
          <w:b/>
          <w:color w:val="1F497D" w:themeColor="text2"/>
          <w:sz w:val="20"/>
        </w:rPr>
        <w:t>I</w:t>
      </w:r>
      <w:r>
        <w:rPr>
          <w:rFonts w:asciiTheme="majorHAnsi" w:hAnsiTheme="majorHAnsi"/>
          <w:b/>
          <w:color w:val="1F497D" w:themeColor="text2"/>
          <w:sz w:val="20"/>
        </w:rPr>
        <w:t>V</w:t>
      </w:r>
      <w:r w:rsidR="00CF2114">
        <w:rPr>
          <w:rFonts w:asciiTheme="majorHAnsi" w:hAnsiTheme="majorHAnsi"/>
          <w:b/>
          <w:color w:val="1F497D" w:themeColor="text2"/>
          <w:sz w:val="20"/>
        </w:rPr>
        <w:t>, V</w:t>
      </w:r>
    </w:p>
    <w:p w14:paraId="7475472F" w14:textId="77777777" w:rsidR="003B209D" w:rsidRPr="00B578C2" w:rsidRDefault="003B209D" w:rsidP="003B209D">
      <w:pPr>
        <w:tabs>
          <w:tab w:val="left" w:pos="1938"/>
        </w:tabs>
        <w:rPr>
          <w:rFonts w:asciiTheme="majorHAnsi" w:hAnsiTheme="majorHAnsi"/>
          <w:sz w:val="16"/>
          <w:szCs w:val="16"/>
        </w:rPr>
      </w:pPr>
      <w:r w:rsidRPr="00B578C2">
        <w:rPr>
          <w:rFonts w:asciiTheme="majorHAnsi" w:hAnsiTheme="majorHAnsi"/>
          <w:sz w:val="16"/>
          <w:szCs w:val="16"/>
        </w:rPr>
        <w:tab/>
      </w:r>
    </w:p>
    <w:tbl>
      <w:tblPr>
        <w:tblStyle w:val="TableGrid"/>
        <w:tblW w:w="10800" w:type="dxa"/>
        <w:tblInd w:w="-972" w:type="dxa"/>
        <w:tblLook w:val="04A0" w:firstRow="1" w:lastRow="0" w:firstColumn="1" w:lastColumn="0" w:noHBand="0" w:noVBand="1"/>
      </w:tblPr>
      <w:tblGrid>
        <w:gridCol w:w="5040"/>
        <w:gridCol w:w="5760"/>
      </w:tblGrid>
      <w:tr w:rsidR="003B209D" w14:paraId="1D1F89EC" w14:textId="77777777" w:rsidTr="002C076C">
        <w:trPr>
          <w:trHeight w:val="350"/>
        </w:trPr>
        <w:tc>
          <w:tcPr>
            <w:tcW w:w="5040" w:type="dxa"/>
            <w:vAlign w:val="center"/>
          </w:tcPr>
          <w:p w14:paraId="5238C2CB" w14:textId="77777777" w:rsidR="003B209D" w:rsidRPr="00875D01" w:rsidRDefault="003B209D" w:rsidP="002C076C">
            <w:pPr>
              <w:jc w:val="center"/>
              <w:rPr>
                <w:rFonts w:asciiTheme="majorHAnsi" w:hAnsiTheme="majorHAnsi"/>
                <w:b/>
              </w:rPr>
            </w:pPr>
            <w:r w:rsidRPr="00875D01">
              <w:rPr>
                <w:rFonts w:asciiTheme="majorHAnsi" w:hAnsiTheme="majorHAnsi"/>
                <w:b/>
              </w:rPr>
              <w:t>Cycle Component</w:t>
            </w:r>
          </w:p>
        </w:tc>
        <w:tc>
          <w:tcPr>
            <w:tcW w:w="5760" w:type="dxa"/>
            <w:vAlign w:val="center"/>
          </w:tcPr>
          <w:p w14:paraId="6695D52A" w14:textId="77777777" w:rsidR="003B209D" w:rsidRPr="00875D01" w:rsidRDefault="003B209D" w:rsidP="002C076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75D01">
              <w:rPr>
                <w:rFonts w:asciiTheme="majorHAnsi" w:hAnsiTheme="majorHAnsi"/>
                <w:b/>
              </w:rPr>
              <w:t>Correlation to Teacher Quality Standards</w:t>
            </w:r>
          </w:p>
        </w:tc>
      </w:tr>
      <w:tr w:rsidR="003B209D" w14:paraId="04FA2327" w14:textId="77777777" w:rsidTr="002C076C">
        <w:tc>
          <w:tcPr>
            <w:tcW w:w="5040" w:type="dxa"/>
          </w:tcPr>
          <w:p w14:paraId="5DFAD828" w14:textId="77777777" w:rsidR="003B209D" w:rsidRPr="008A0C8C" w:rsidRDefault="003B209D" w:rsidP="002C076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7B4363EC" w14:textId="06207EFF" w:rsidR="003B209D" w:rsidRPr="00875D01" w:rsidRDefault="007B18C0" w:rsidP="002C076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Accurately Record Progress</w:t>
            </w:r>
          </w:p>
          <w:p w14:paraId="635D5C6D" w14:textId="77777777" w:rsidR="003B209D" w:rsidRPr="008A0C8C" w:rsidRDefault="003B209D" w:rsidP="002C076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0FAFC001" w14:textId="0A9607BA" w:rsidR="003B209D" w:rsidRDefault="00385863" w:rsidP="002C076C">
            <w:pPr>
              <w:pStyle w:val="ListParagraph"/>
              <w:ind w:left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Student progress should be recorded both formally within the district electronic gradebook and informally in teacher-created data organizers.</w:t>
            </w:r>
            <w:r w:rsidR="001E389F">
              <w:rPr>
                <w:rFonts w:asciiTheme="majorHAnsi" w:hAnsiTheme="majorHAnsi"/>
                <w:sz w:val="20"/>
              </w:rPr>
              <w:t xml:space="preserve"> Explicit school practices and district policies should always been followed. </w:t>
            </w:r>
          </w:p>
          <w:p w14:paraId="2B412275" w14:textId="17733B1E" w:rsidR="003B209D" w:rsidRPr="00D01EAA" w:rsidRDefault="003B209D" w:rsidP="00D01EAA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</w:tc>
        <w:tc>
          <w:tcPr>
            <w:tcW w:w="5760" w:type="dxa"/>
          </w:tcPr>
          <w:p w14:paraId="5ED6D134" w14:textId="310367F2" w:rsidR="003B209D" w:rsidRDefault="00844A90" w:rsidP="00855249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Establishes consistent and appropriate strategies for assigning grades. (III.h)</w:t>
            </w:r>
          </w:p>
          <w:p w14:paraId="7224A61B" w14:textId="6AB77951" w:rsidR="003B209D" w:rsidRDefault="00844A90" w:rsidP="00855249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Bases grade on multiple measures that provide a comprehensive and consistent picture of student skills and knowledge. (III.h)</w:t>
            </w:r>
          </w:p>
          <w:p w14:paraId="0305616F" w14:textId="1769BB32" w:rsidR="003B209D" w:rsidRDefault="00844A90" w:rsidP="00855249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Implements school and district policies with fidelity. (V.c)</w:t>
            </w:r>
          </w:p>
          <w:p w14:paraId="00778A1D" w14:textId="317A044A" w:rsidR="003B209D" w:rsidRPr="00A90B5E" w:rsidRDefault="00844A90" w:rsidP="00855249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Maintains confidentiality of student and fellow teacher interactions as well as student and personal data. (V.d)</w:t>
            </w:r>
          </w:p>
        </w:tc>
      </w:tr>
      <w:tr w:rsidR="003B209D" w14:paraId="4A256E68" w14:textId="77777777" w:rsidTr="002C076C">
        <w:tc>
          <w:tcPr>
            <w:tcW w:w="5040" w:type="dxa"/>
          </w:tcPr>
          <w:p w14:paraId="0B234484" w14:textId="77777777" w:rsidR="003B209D" w:rsidRPr="008A0C8C" w:rsidRDefault="003B209D" w:rsidP="002C076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630828E4" w14:textId="5CBAB8D7" w:rsidR="003B209D" w:rsidRPr="00875D01" w:rsidRDefault="007B18C0" w:rsidP="002C076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Support Student Ownership of Learning Progress</w:t>
            </w:r>
          </w:p>
          <w:p w14:paraId="4B1593EB" w14:textId="77777777" w:rsidR="003B209D" w:rsidRPr="008A0C8C" w:rsidRDefault="003B209D" w:rsidP="002C076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53187D08" w14:textId="47DEF766" w:rsidR="003B209D" w:rsidRPr="002A5078" w:rsidRDefault="002F53FD" w:rsidP="002C076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When students own their learning, achievement soars.  Teachers should utilize a wide variety of instructional strategies to increase student self-regulation, self-monitoring, goal-setting, and metacognition.  Students should not be expected to own their learning without carefully scaffolded instruction.  Student ownership of learning is a skill that must be explicitly modeled and taught in the beginning. </w:t>
            </w:r>
            <w:r w:rsidR="003B209D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Regular guided practice for developing student ownership should be embedded to further the process of gradual release prior to students begin independently able to own their learning progress.</w:t>
            </w:r>
          </w:p>
        </w:tc>
        <w:tc>
          <w:tcPr>
            <w:tcW w:w="5760" w:type="dxa"/>
          </w:tcPr>
          <w:p w14:paraId="3C4CBC1D" w14:textId="3E9FF4DF" w:rsidR="003B209D" w:rsidRDefault="002C076C" w:rsidP="00855249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recognize when they make procedural errors and take steps to correct them. (I.c)</w:t>
            </w:r>
          </w:p>
          <w:p w14:paraId="72E053E1" w14:textId="443A038F" w:rsidR="002C076C" w:rsidRDefault="002C076C" w:rsidP="00855249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choose challenging tasks and instructional materials and raise/answer complex questions. (I.d, II.c)</w:t>
            </w:r>
          </w:p>
          <w:p w14:paraId="1981EDF3" w14:textId="7F1ED128" w:rsidR="002C076C" w:rsidRDefault="002C076C" w:rsidP="00855249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set own learning targets and reflect on learning. (I.e)</w:t>
            </w:r>
          </w:p>
          <w:p w14:paraId="730C53C3" w14:textId="77777777" w:rsidR="002C076C" w:rsidRDefault="002C076C" w:rsidP="00855249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are actively engaged in their own learning and seek opportunities to apply workforce readiness skills. (I.f)</w:t>
            </w:r>
          </w:p>
          <w:p w14:paraId="00A767DC" w14:textId="77777777" w:rsidR="002C076C" w:rsidRDefault="002C076C" w:rsidP="00855249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monitor their own behavior with respect to expectations set by the teacher. (II.a)</w:t>
            </w:r>
          </w:p>
          <w:p w14:paraId="3BBFD532" w14:textId="77777777" w:rsidR="002C076C" w:rsidRDefault="002C076C" w:rsidP="00855249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articulate an awareness of their learning needs, advocate for themselves, reflect on their learning, make adjustments to their learning tactics, and support their fellow classmates. (II.d)</w:t>
            </w:r>
          </w:p>
          <w:p w14:paraId="4B4479CD" w14:textId="77777777" w:rsidR="002C076C" w:rsidRDefault="002C076C" w:rsidP="00855249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initiate communication with teachers to discuss needs and seek out available assistance. (II.e)</w:t>
            </w:r>
          </w:p>
          <w:p w14:paraId="1DC92F39" w14:textId="674172C0" w:rsidR="002C076C" w:rsidRPr="00B93749" w:rsidRDefault="002C076C" w:rsidP="00855249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accept responsibility for their </w:t>
            </w:r>
            <w:r w:rsidR="00855249">
              <w:rPr>
                <w:rFonts w:asciiTheme="majorHAnsi" w:hAnsiTheme="majorHAnsi"/>
                <w:sz w:val="20"/>
                <w:szCs w:val="20"/>
              </w:rPr>
              <w:t xml:space="preserve">behavior and </w:t>
            </w:r>
            <w:r w:rsidR="00D61E85">
              <w:rPr>
                <w:rFonts w:asciiTheme="majorHAnsi" w:hAnsiTheme="majorHAnsi"/>
                <w:sz w:val="20"/>
                <w:szCs w:val="20"/>
              </w:rPr>
              <w:t xml:space="preserve">time. </w:t>
            </w:r>
            <w:r>
              <w:rPr>
                <w:rFonts w:asciiTheme="majorHAnsi" w:hAnsiTheme="majorHAnsi"/>
                <w:sz w:val="20"/>
                <w:szCs w:val="20"/>
              </w:rPr>
              <w:t>(II.f)</w:t>
            </w:r>
          </w:p>
        </w:tc>
      </w:tr>
      <w:tr w:rsidR="003B209D" w14:paraId="67DDEB30" w14:textId="77777777" w:rsidTr="002C076C">
        <w:trPr>
          <w:trHeight w:val="2969"/>
        </w:trPr>
        <w:tc>
          <w:tcPr>
            <w:tcW w:w="5040" w:type="dxa"/>
          </w:tcPr>
          <w:p w14:paraId="19095750" w14:textId="77777777" w:rsidR="003B209D" w:rsidRPr="008A0C8C" w:rsidRDefault="003B209D" w:rsidP="002C076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16674F23" w14:textId="1D1B287C" w:rsidR="003B209D" w:rsidRPr="00022574" w:rsidRDefault="007B18C0" w:rsidP="002C076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Communicate Progress with Students and Families</w:t>
            </w:r>
          </w:p>
          <w:p w14:paraId="1453B89A" w14:textId="77777777" w:rsidR="003B209D" w:rsidRPr="008A0C8C" w:rsidRDefault="003B209D" w:rsidP="002C076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7A483A19" w14:textId="77777777" w:rsidR="003B209D" w:rsidRDefault="003B209D" w:rsidP="00641089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Proficient educators provide and help students use descriptive, timely, specific and individualized feedback about the quality of their work. </w:t>
            </w:r>
          </w:p>
          <w:p w14:paraId="3FE9D6FB" w14:textId="77777777" w:rsidR="00641089" w:rsidRPr="00E100CC" w:rsidRDefault="00641089" w:rsidP="00E100CC">
            <w:pPr>
              <w:ind w:firstLine="720"/>
              <w:rPr>
                <w:rFonts w:asciiTheme="majorHAnsi" w:hAnsiTheme="majorHAnsi"/>
                <w:sz w:val="16"/>
                <w:szCs w:val="16"/>
              </w:rPr>
            </w:pPr>
          </w:p>
          <w:p w14:paraId="5E75E212" w14:textId="3C9DF85D" w:rsidR="00641089" w:rsidRPr="00E44F15" w:rsidRDefault="001B5DD3" w:rsidP="002D2E3B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Teachers should engage in regular communication, using a variety of methods – not just the Parent Portal –</w:t>
            </w:r>
            <w:r w:rsidR="002D2E3B">
              <w:rPr>
                <w:rFonts w:asciiTheme="majorHAnsi" w:hAnsiTheme="majorHAnsi"/>
                <w:sz w:val="20"/>
              </w:rPr>
              <w:t xml:space="preserve"> with parents to</w:t>
            </w:r>
            <w:r>
              <w:rPr>
                <w:rFonts w:asciiTheme="majorHAnsi" w:hAnsiTheme="majorHAnsi"/>
                <w:sz w:val="20"/>
              </w:rPr>
              <w:t xml:space="preserve"> engage </w:t>
            </w:r>
            <w:r w:rsidR="002D2E3B">
              <w:rPr>
                <w:rFonts w:asciiTheme="majorHAnsi" w:hAnsiTheme="majorHAnsi"/>
                <w:sz w:val="20"/>
              </w:rPr>
              <w:t>them and help them understand</w:t>
            </w:r>
            <w:r>
              <w:rPr>
                <w:rFonts w:asciiTheme="majorHAnsi" w:hAnsiTheme="majorHAnsi"/>
                <w:sz w:val="20"/>
              </w:rPr>
              <w:t xml:space="preserve"> their child’s progress.</w:t>
            </w:r>
            <w:r w:rsidR="00E7294E">
              <w:rPr>
                <w:rFonts w:asciiTheme="majorHAnsi" w:hAnsiTheme="majorHAnsi"/>
                <w:sz w:val="20"/>
              </w:rPr>
              <w:t xml:space="preserve">  A partnership approach to educating the child should be the goal. </w:t>
            </w:r>
          </w:p>
        </w:tc>
        <w:tc>
          <w:tcPr>
            <w:tcW w:w="5760" w:type="dxa"/>
          </w:tcPr>
          <w:p w14:paraId="6B6EC745" w14:textId="77777777" w:rsidR="003B209D" w:rsidRDefault="003B209D" w:rsidP="002C076C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  <w:p w14:paraId="7DA1702C" w14:textId="55DCCE21" w:rsidR="003B209D" w:rsidRDefault="00597693" w:rsidP="00AE167D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</w:t>
            </w:r>
            <w:r w:rsidR="00AE167D">
              <w:rPr>
                <w:rFonts w:asciiTheme="majorHAnsi" w:hAnsiTheme="majorHAnsi"/>
                <w:sz w:val="20"/>
                <w:szCs w:val="20"/>
              </w:rPr>
              <w:t xml:space="preserve"> provides proactive, clear and constructive feedback to families about student progress and work collaboratively with families and significant adults in the lives of students. (II.e)</w:t>
            </w:r>
          </w:p>
          <w:p w14:paraId="42C9DA95" w14:textId="4B277467" w:rsidR="00AE167D" w:rsidRDefault="00597693" w:rsidP="00AE167D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uses a variety of methods to initiate communication with parents and significant adults. (II.e)</w:t>
            </w:r>
          </w:p>
          <w:p w14:paraId="4C93F913" w14:textId="77777777" w:rsidR="00597693" w:rsidRDefault="00597693" w:rsidP="00AE167D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maximizes home/school connection by coordinating information from significant adults and other colleagues who provide student services. (II.e)</w:t>
            </w:r>
          </w:p>
          <w:p w14:paraId="76925BF0" w14:textId="73FB568B" w:rsidR="00597693" w:rsidRPr="00736A44" w:rsidRDefault="00D37A98" w:rsidP="00AE167D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Families and significant adults partner with the teacher and the school for the benefit of their students. (II.e)</w:t>
            </w:r>
          </w:p>
        </w:tc>
      </w:tr>
      <w:tr w:rsidR="003B209D" w14:paraId="6DE682F0" w14:textId="77777777" w:rsidTr="002C076C">
        <w:trPr>
          <w:trHeight w:val="2789"/>
        </w:trPr>
        <w:tc>
          <w:tcPr>
            <w:tcW w:w="5040" w:type="dxa"/>
          </w:tcPr>
          <w:p w14:paraId="47948AF2" w14:textId="63C731C8" w:rsidR="003B209D" w:rsidRPr="008A0C8C" w:rsidRDefault="003B209D" w:rsidP="002C076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28A33F15" w14:textId="1A7EC4C1" w:rsidR="003B209D" w:rsidRPr="00994189" w:rsidRDefault="007B18C0" w:rsidP="002C076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Collaboratively Plan with Colleagues to Guarantee Access to Further Learning</w:t>
            </w:r>
          </w:p>
          <w:p w14:paraId="19B7C1F4" w14:textId="77777777" w:rsidR="003B209D" w:rsidRPr="008A0C8C" w:rsidRDefault="003B209D" w:rsidP="002C076C">
            <w:pPr>
              <w:pStyle w:val="ListParagraph"/>
              <w:tabs>
                <w:tab w:val="left" w:pos="969"/>
              </w:tabs>
              <w:ind w:left="0"/>
              <w:rPr>
                <w:rFonts w:asciiTheme="majorHAnsi" w:hAnsiTheme="majorHAnsi"/>
                <w:sz w:val="12"/>
              </w:rPr>
            </w:pPr>
            <w:r w:rsidRPr="008A0C8C">
              <w:rPr>
                <w:rFonts w:asciiTheme="majorHAnsi" w:hAnsiTheme="majorHAnsi"/>
                <w:sz w:val="12"/>
              </w:rPr>
              <w:tab/>
            </w:r>
          </w:p>
          <w:p w14:paraId="313A6FF2" w14:textId="6A369916" w:rsidR="003B209D" w:rsidRPr="00B578C2" w:rsidRDefault="00346C09" w:rsidP="002C076C">
            <w:pPr>
              <w:pStyle w:val="ListParagraph"/>
              <w:ind w:left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The days of isolation in education are over.  In order to maximize our efforts as a system that optimizes learning for students and promotes continual growth for each educator, teachers must engage in regular, collegial conversations with their peers regarding curriculum, instruction, student learning</w:t>
            </w:r>
            <w:r w:rsidR="00DA6AA1">
              <w:rPr>
                <w:rFonts w:asciiTheme="majorHAnsi" w:hAnsiTheme="majorHAnsi"/>
                <w:sz w:val="20"/>
              </w:rPr>
              <w:t xml:space="preserve"> results</w:t>
            </w:r>
            <w:bookmarkStart w:id="0" w:name="_GoBack"/>
            <w:bookmarkEnd w:id="0"/>
            <w:r>
              <w:rPr>
                <w:rFonts w:asciiTheme="majorHAnsi" w:hAnsiTheme="majorHAnsi"/>
                <w:sz w:val="20"/>
              </w:rPr>
              <w:t xml:space="preserve">, opportunities for improvement, and innovative ways to approach teaching and learning. </w:t>
            </w:r>
          </w:p>
        </w:tc>
        <w:tc>
          <w:tcPr>
            <w:tcW w:w="5760" w:type="dxa"/>
          </w:tcPr>
          <w:p w14:paraId="6855A09F" w14:textId="43EB121B" w:rsidR="003B209D" w:rsidRDefault="007972F5" w:rsidP="00A14534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Initiates and leads collaborative activities with colleagues, serves as critical friends to colleagues – both providing and receiving feedback on performance, and strengthens teacher practice based on colleague feedback. (IV.c)</w:t>
            </w:r>
          </w:p>
          <w:p w14:paraId="2C2277F7" w14:textId="1D24209B" w:rsidR="007972F5" w:rsidRDefault="007972F5" w:rsidP="00A14534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Collaborates with colleagues to support student growth and development. (V.a)</w:t>
            </w:r>
          </w:p>
          <w:p w14:paraId="0E038A7E" w14:textId="68D05433" w:rsidR="007972F5" w:rsidRDefault="007972F5" w:rsidP="00A14534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Initiates and leads collaborative activities with colleagues to analyze student data and interpret results, apply findings to improve teaching practice, and share ideas to improve teaching and learning. (V.a)</w:t>
            </w:r>
          </w:p>
          <w:p w14:paraId="37FFDDA3" w14:textId="4654B271" w:rsidR="003B209D" w:rsidRPr="00CE710A" w:rsidRDefault="007972F5" w:rsidP="00A14534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Seeks out high quality professional development to meet professional goals, shares lessons learned with colleagues, and embraces new ways of approaching learning. (IV.b)</w:t>
            </w:r>
          </w:p>
        </w:tc>
      </w:tr>
    </w:tbl>
    <w:p w14:paraId="36859B13" w14:textId="38E4AF62" w:rsidR="00E44744" w:rsidRDefault="00E44744"/>
    <w:sectPr w:rsidR="00E44744" w:rsidSect="002C076C">
      <w:pgSz w:w="12240" w:h="15840"/>
      <w:pgMar w:top="81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ype Embellishments One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2D0C"/>
    <w:multiLevelType w:val="hybridMultilevel"/>
    <w:tmpl w:val="A7FE2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9D"/>
    <w:rsid w:val="00012115"/>
    <w:rsid w:val="001B5DD3"/>
    <w:rsid w:val="001E389F"/>
    <w:rsid w:val="002C076C"/>
    <w:rsid w:val="002D2E3B"/>
    <w:rsid w:val="002F53FD"/>
    <w:rsid w:val="00346C09"/>
    <w:rsid w:val="00385863"/>
    <w:rsid w:val="003B209D"/>
    <w:rsid w:val="00516118"/>
    <w:rsid w:val="00522E0F"/>
    <w:rsid w:val="00597693"/>
    <w:rsid w:val="00641089"/>
    <w:rsid w:val="007972F5"/>
    <w:rsid w:val="007B18C0"/>
    <w:rsid w:val="00844A90"/>
    <w:rsid w:val="00855249"/>
    <w:rsid w:val="008D2BF5"/>
    <w:rsid w:val="00A14534"/>
    <w:rsid w:val="00AE167D"/>
    <w:rsid w:val="00CF2114"/>
    <w:rsid w:val="00D01EAA"/>
    <w:rsid w:val="00D37A98"/>
    <w:rsid w:val="00D61E85"/>
    <w:rsid w:val="00DA6AA1"/>
    <w:rsid w:val="00E100CC"/>
    <w:rsid w:val="00E44744"/>
    <w:rsid w:val="00E7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5290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09D"/>
    <w:rPr>
      <w:rFonts w:ascii="Verdana" w:eastAsiaTheme="minorHAnsi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3B209D"/>
    <w:pPr>
      <w:ind w:left="720"/>
      <w:contextualSpacing/>
    </w:pPr>
  </w:style>
  <w:style w:type="table" w:styleId="TableGrid">
    <w:name w:val="Table Grid"/>
    <w:basedOn w:val="TableNormal"/>
    <w:uiPriority w:val="59"/>
    <w:rsid w:val="003B2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09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09D"/>
    <w:rPr>
      <w:rFonts w:ascii="Verdana" w:eastAsiaTheme="minorHAnsi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3B209D"/>
    <w:pPr>
      <w:ind w:left="720"/>
      <w:contextualSpacing/>
    </w:pPr>
  </w:style>
  <w:style w:type="table" w:styleId="TableGrid">
    <w:name w:val="Table Grid"/>
    <w:basedOn w:val="TableNormal"/>
    <w:uiPriority w:val="59"/>
    <w:rsid w:val="003B2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09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688</Words>
  <Characters>3925</Characters>
  <Application>Microsoft Macintosh Word</Application>
  <DocSecurity>0</DocSecurity>
  <Lines>32</Lines>
  <Paragraphs>9</Paragraphs>
  <ScaleCrop>false</ScaleCrop>
  <Company>TSD</Company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Lauer</dc:creator>
  <cp:keywords/>
  <dc:description/>
  <cp:lastModifiedBy>Diane Lauer</cp:lastModifiedBy>
  <cp:revision>28</cp:revision>
  <dcterms:created xsi:type="dcterms:W3CDTF">2012-07-30T01:18:00Z</dcterms:created>
  <dcterms:modified xsi:type="dcterms:W3CDTF">2012-07-30T02:10:00Z</dcterms:modified>
</cp:coreProperties>
</file>